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7DB70" w14:textId="77777777" w:rsidR="00AF2C21" w:rsidRDefault="00AF2C21">
      <w:pPr>
        <w:rPr>
          <w:rFonts w:ascii="Calibri" w:eastAsia="Calibri" w:hAnsi="Calibri" w:cs="Calibri"/>
          <w:color w:val="000000"/>
        </w:rPr>
      </w:pPr>
      <w:r>
        <w:rPr>
          <w:rFonts w:ascii="Calibri" w:eastAsia="Calibri" w:hAnsi="Calibri" w:cs="Calibri"/>
          <w:color w:val="000000"/>
        </w:rPr>
        <w:t>Varhaiskasvatuksen Opettajien Liitto</w:t>
      </w:r>
    </w:p>
    <w:p w14:paraId="490A3E6A" w14:textId="77777777" w:rsidR="00AF2C21" w:rsidRDefault="00AF2C21">
      <w:pPr>
        <w:rPr>
          <w:rFonts w:ascii="Calibri" w:eastAsia="Calibri" w:hAnsi="Calibri" w:cs="Calibri"/>
          <w:color w:val="000000"/>
        </w:rPr>
      </w:pPr>
    </w:p>
    <w:p w14:paraId="29094379" w14:textId="77777777" w:rsidR="00AF2C21" w:rsidRDefault="00AF2C21">
      <w:pPr>
        <w:spacing w:after="200"/>
        <w:ind w:firstLine="5000"/>
        <w:rPr>
          <w:rFonts w:ascii="Calibri" w:eastAsia="Calibri" w:hAnsi="Calibri" w:cs="Calibri"/>
          <w:color w:val="000000"/>
        </w:rPr>
      </w:pPr>
      <w:r>
        <w:rPr>
          <w:rFonts w:ascii="Calibri" w:eastAsia="Calibri" w:hAnsi="Calibri" w:cs="Calibri"/>
          <w:color w:val="000000"/>
        </w:rPr>
        <w:t>Lausunto</w:t>
      </w:r>
    </w:p>
    <w:p w14:paraId="636E4010" w14:textId="77777777" w:rsidR="00AF2C21" w:rsidRDefault="00AF2C21">
      <w:pPr>
        <w:spacing w:after="200"/>
        <w:ind w:firstLine="5000"/>
        <w:rPr>
          <w:rFonts w:ascii="Calibri" w:eastAsia="Calibri" w:hAnsi="Calibri" w:cs="Calibri"/>
          <w:color w:val="000000"/>
        </w:rPr>
      </w:pPr>
      <w:r>
        <w:rPr>
          <w:rFonts w:ascii="Calibri" w:eastAsia="Calibri" w:hAnsi="Calibri" w:cs="Calibri"/>
          <w:color w:val="000000"/>
        </w:rPr>
        <w:t>14.08.2026</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p>
    <w:p w14:paraId="179C8E1E" w14:textId="77777777" w:rsidR="00AF2C21" w:rsidRDefault="00AF2C21">
      <w:pPr>
        <w:rPr>
          <w:rFonts w:ascii="Calibri" w:eastAsia="Calibri" w:hAnsi="Calibri" w:cs="Calibri"/>
          <w:color w:val="000000"/>
        </w:rPr>
      </w:pPr>
    </w:p>
    <w:p w14:paraId="6C04C261" w14:textId="77777777" w:rsidR="00AF2C21" w:rsidRDefault="00AF2C21">
      <w:pPr>
        <w:rPr>
          <w:rFonts w:ascii="Calibri" w:eastAsia="Calibri" w:hAnsi="Calibri" w:cs="Calibri"/>
          <w:color w:val="000000"/>
        </w:rPr>
      </w:pPr>
    </w:p>
    <w:p w14:paraId="0DA1E6E5" w14:textId="77777777" w:rsidR="00AF2C21" w:rsidRDefault="00AF2C21">
      <w:pPr>
        <w:rPr>
          <w:rFonts w:ascii="Calibri" w:eastAsia="Calibri" w:hAnsi="Calibri" w:cs="Calibri"/>
          <w:color w:val="000000"/>
        </w:rPr>
      </w:pPr>
    </w:p>
    <w:p w14:paraId="1723A926" w14:textId="77777777" w:rsidR="00AF2C21" w:rsidRDefault="00AF2C21">
      <w:pPr>
        <w:rPr>
          <w:rFonts w:ascii="Calibri" w:eastAsia="Calibri" w:hAnsi="Calibri" w:cs="Calibri"/>
          <w:color w:val="000000"/>
        </w:rPr>
      </w:pPr>
    </w:p>
    <w:p w14:paraId="4E1CD4FF" w14:textId="77777777" w:rsidR="00AF2C21" w:rsidRDefault="00AF2C21">
      <w:pPr>
        <w:rPr>
          <w:rFonts w:ascii="Calibri" w:eastAsia="Calibri" w:hAnsi="Calibri" w:cs="Calibri"/>
          <w:color w:val="000000"/>
        </w:rPr>
      </w:pPr>
      <w:r>
        <w:rPr>
          <w:rFonts w:ascii="Calibri" w:eastAsia="Calibri" w:hAnsi="Calibri" w:cs="Calibri"/>
          <w:color w:val="000000"/>
        </w:rPr>
        <w:t>Asia:  VN/35609/2025</w:t>
      </w:r>
    </w:p>
    <w:p w14:paraId="43240B56" w14:textId="77777777" w:rsidR="00AF2C21" w:rsidRDefault="00AF2C21">
      <w:pPr>
        <w:rPr>
          <w:rFonts w:ascii="Calibri" w:eastAsia="Calibri" w:hAnsi="Calibri" w:cs="Calibri"/>
          <w:color w:val="000000"/>
        </w:rPr>
      </w:pPr>
    </w:p>
    <w:p w14:paraId="58D3ADC5" w14:textId="77777777" w:rsidR="00AF2C21" w:rsidRDefault="00AF2C21">
      <w:pPr>
        <w:rPr>
          <w:rFonts w:ascii="Calibri" w:eastAsia="Calibri" w:hAnsi="Calibri" w:cs="Calibri"/>
          <w:b/>
          <w:color w:val="000000"/>
          <w:sz w:val="32"/>
        </w:rPr>
      </w:pPr>
      <w:r>
        <w:rPr>
          <w:rFonts w:ascii="Calibri" w:eastAsia="Calibri" w:hAnsi="Calibri" w:cs="Calibri"/>
          <w:b/>
          <w:color w:val="000000"/>
          <w:sz w:val="32"/>
        </w:rPr>
        <w:t>Luonnos hallituksen esitykseksi eduskunnalle varhaiskasvatuksen, perusopetuksen ja vapaan sivistystyön järjestämisestä häiriötilanteissa koskevaksi lainsäädännöksi</w:t>
      </w:r>
    </w:p>
    <w:p w14:paraId="4BBE3C00" w14:textId="77777777" w:rsidR="00AF2C21" w:rsidRDefault="00AF2C21">
      <w:pPr>
        <w:rPr>
          <w:rFonts w:ascii="Calibri" w:eastAsia="Calibri" w:hAnsi="Calibri" w:cs="Calibri"/>
          <w:b/>
          <w:color w:val="000000"/>
          <w:sz w:val="32"/>
        </w:rPr>
      </w:pPr>
    </w:p>
    <w:p w14:paraId="5C10B93E" w14:textId="77777777" w:rsidR="00AF2C21" w:rsidRDefault="00AF2C21">
      <w:pPr>
        <w:spacing w:before="200" w:after="200"/>
        <w:rPr>
          <w:rFonts w:ascii="Calibri" w:eastAsia="Calibri" w:hAnsi="Calibri" w:cs="Calibri"/>
          <w:color w:val="000000"/>
          <w:sz w:val="32"/>
        </w:rPr>
      </w:pPr>
      <w:r>
        <w:rPr>
          <w:rFonts w:ascii="Calibri" w:eastAsia="Calibri" w:hAnsi="Calibri" w:cs="Calibri"/>
          <w:color w:val="000000"/>
          <w:sz w:val="32"/>
        </w:rPr>
        <w:t>Kysymykset</w:t>
      </w:r>
    </w:p>
    <w:p w14:paraId="089F7949"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1. Onko lakeihin ehdotettu häiriötilanteen määritelmä riittävä?</w:t>
      </w:r>
    </w:p>
    <w:p w14:paraId="68FC9F5D"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On kannatettavaa ja tärkeää, että mahdollisuus poiketa varhaiskasvatuksen järjestämistä koskevista velvoitteista häiriötilanteissa perustuisi valtioneuvoston asetukseen. Ratkaisu edistää sääntelyn valtakunnallisesti yhdenmukaista soveltamista, kun arviointi poikkeusmahdollisuuksien käyttöönotosta tehdään keskitetysti eikä jää yksittäisten varhaiskasvatuksen järjestäjien harkinnan varaan.  Varhaiskasvatuksen Opettajien Liitto (VOL) katsoo, että yleisesti arvioiden on tarpeellista, että varhaiskasvatustakasva</w:t>
      </w:r>
      <w:r>
        <w:rPr>
          <w:rFonts w:ascii="Calibri" w:eastAsia="Calibri" w:hAnsi="Calibri" w:cs="Calibri"/>
          <w:color w:val="000000"/>
        </w:rPr>
        <w:t>tusta ja esiopetusta koskevaan lainsäädäntöön sisällytetään häiriötilanteita koskevaa sääntelyä, mutta häiriötilanteen käsitettä tulisi määritellä tarkkarajaisemmin. Perusoikeuksien yleisten rajoitusedellytysten mukaan perusoikeuksia rajoittavien säännösten tulee olla riittävän täsmällisiä ja tarkkarajaisia sekä sidottuja välttämättömyysedellytykseen. Tästä syystä häiriötilanteen määritelmää tulisi täsmentää esimerkiksi tilanteen keston ja vaikutusten vakavuuden osalta. Lisäksi määritelmästä tulisi käydä se</w:t>
      </w:r>
      <w:r>
        <w:rPr>
          <w:rFonts w:ascii="Calibri" w:eastAsia="Calibri" w:hAnsi="Calibri" w:cs="Calibri"/>
          <w:color w:val="000000"/>
        </w:rPr>
        <w:t>lvästi ilmi, ettei tavanomaisia toiminnallisia ongelmia voida pitää säännöksissä tarkoitettuina häiriötilanteina.</w:t>
      </w:r>
    </w:p>
    <w:p w14:paraId="3E7A9551"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On hyvä, että säännösten perusteluissa on esitetty esimerkkejä tilanteista, joita voitaisiin pitää häiriötilanteina. Myönteistä on myös se, että perusteluissa on selvennetty häiriötilanteiden ja valmiuslaissa tarkoitettujen poikkeusolojen välistä suhdetta. Tämä edistää sääntelyn selkeyttä ja helpottaa eri sääntelykokonaisuuksien keskinäisen suhteen hahmottamista.</w:t>
      </w:r>
    </w:p>
    <w:p w14:paraId="7FBF18CB"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Yleisesti ottaen varhaiskasvatuksen rooli näyttäytyy esityksessä korostuneesti palveluna, jonka tarkoituksena on mahdollistaa huoltajien työssäkäynti häiriötilanteissa ja jonka jatkuvuuden turvaamiseen kuntia ohjataan. Tämän voimakas painotus jättää huomioimatta mikä on lainsäädännössä tunnistetun varhaiskasvatuksen sivistyksellisen ja pedagogisen luonteen suhde lapsen oikeuksien toteutumiseen varhaiskasvatussuunnitelman perusteiden mukaiseen toimintaan myös häiriötilanteissa. Lisäksi esityksessä ei arvioid</w:t>
      </w:r>
      <w:r>
        <w:rPr>
          <w:rFonts w:ascii="Calibri" w:eastAsia="Calibri" w:hAnsi="Calibri" w:cs="Calibri"/>
          <w:color w:val="000000"/>
        </w:rPr>
        <w:t>a riittävästi, miten lasten, huoltajien ja henkilöstön turvallisuus varmistetaan tilanteissa, joihin liittyy ilmeisiä vaara- tai turvallisuusuhkia.</w:t>
      </w:r>
    </w:p>
    <w:p w14:paraId="612711D0" w14:textId="538680DB"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 xml:space="preserve">Esityksessä häiriötilanteen määritelmä poikkeaa toisistaan perusopetusta ja varhaiskasvatusta koskevissa säännöksissä. Perusopetuslain (johon esiopetus kuuluu) osalta häiriötilanteen </w:t>
      </w:r>
      <w:r>
        <w:rPr>
          <w:rFonts w:ascii="Calibri" w:eastAsia="Calibri" w:hAnsi="Calibri" w:cs="Calibri"/>
          <w:color w:val="000000"/>
        </w:rPr>
        <w:lastRenderedPageBreak/>
        <w:t xml:space="preserve">tunnusmerkistöön kuuluu vaatimus siitä, että uhka, tilanne tai tapahtuma on ennalta arvaamaton. Varhaiskasvatuslainsäädännön osalta vastaavaa edellytystä ei kuitenkaan ole sisällytetty määritelmään. Tämä on ristiriidassa varhaiskasvatuslain säännöskohtaisten perustelujen kanssa, joiden mukaan lakiin ehdotetaan perusopetuslain kanssa vastaavaa häiriötilanteen määritelmää. </w:t>
      </w:r>
      <w:r w:rsidR="00C6742B">
        <w:rPr>
          <w:rFonts w:ascii="Calibri" w:eastAsia="Calibri" w:hAnsi="Calibri" w:cs="Calibri"/>
          <w:color w:val="000000"/>
        </w:rPr>
        <w:t>O</w:t>
      </w:r>
      <w:r>
        <w:rPr>
          <w:rFonts w:ascii="Calibri" w:eastAsia="Calibri" w:hAnsi="Calibri" w:cs="Calibri"/>
          <w:color w:val="000000"/>
        </w:rPr>
        <w:t>n myös huomioitava, että päiväkodeissa järjestettävään esiopetukseen sovelletaan perusopetuksen lisäksi myös eräiltä osin varhaiskasvatuslakia. Sääntelyn johdonmukaisuuden ja tulkinnan selkeyden vuoksi häiriötilanteen määritelmän tulisi olla tältä osin yhdenmukainen kaikissa ehdotuksen kohteena olevissa laeissa.</w:t>
      </w:r>
    </w:p>
    <w:p w14:paraId="32E35252" w14:textId="77777777" w:rsidR="00AF2C21" w:rsidRDefault="00AF2C21">
      <w:pPr>
        <w:spacing w:before="200" w:after="200"/>
        <w:ind w:left="800"/>
        <w:rPr>
          <w:rFonts w:ascii="Calibri" w:eastAsia="Calibri" w:hAnsi="Calibri" w:cs="Calibri"/>
          <w:color w:val="000000"/>
        </w:rPr>
      </w:pPr>
    </w:p>
    <w:p w14:paraId="55D9F3FF" w14:textId="77777777" w:rsidR="00AF2C21" w:rsidRDefault="00AF2C21">
      <w:pPr>
        <w:spacing w:before="200" w:after="200"/>
        <w:ind w:left="800"/>
        <w:rPr>
          <w:rFonts w:ascii="Calibri" w:eastAsia="Calibri" w:hAnsi="Calibri" w:cs="Calibri"/>
          <w:color w:val="000000"/>
        </w:rPr>
      </w:pPr>
    </w:p>
    <w:p w14:paraId="2572602B" w14:textId="77777777" w:rsidR="00AF2C21" w:rsidRDefault="00AF2C21">
      <w:pPr>
        <w:spacing w:before="200" w:after="200"/>
        <w:rPr>
          <w:rFonts w:ascii="Calibri" w:eastAsia="Calibri" w:hAnsi="Calibri" w:cs="Calibri"/>
          <w:color w:val="000000"/>
          <w:sz w:val="32"/>
        </w:rPr>
      </w:pPr>
      <w:r>
        <w:rPr>
          <w:rFonts w:ascii="Calibri" w:eastAsia="Calibri" w:hAnsi="Calibri" w:cs="Calibri"/>
          <w:color w:val="000000"/>
          <w:sz w:val="32"/>
        </w:rPr>
        <w:t>Varhaiskasvatus:</w:t>
      </w:r>
    </w:p>
    <w:p w14:paraId="2FE025FE"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1. Huomionne varhaiskasvatuksen järjestämistä ja tuottamista häiriötilanteissa koskevaan 11 b §:ään</w:t>
      </w:r>
    </w:p>
    <w:p w14:paraId="451E48FB"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 xml:space="preserve">Säännösehdotuksen mukaan varhaiskasvatuksessa voitaisiin poiketa aukioloajoista (vuorohoitoa lukuun ottamatta) sekä henkilöstömitoitusta ja lasten ja henkilöstön välistä suhdelukua koskevista vaatimuksista yli viiden tunnin ajan päivässä silloin, kun kyse on kolme vuotta täyttäneiden lasten varhaiskasvatuksesta. </w:t>
      </w:r>
    </w:p>
    <w:p w14:paraId="35E29881"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VOL ei pidä perusteltuna, eikä hyväksy esitystä mahdollisuudesta poiketa henkilöstömitoituksesta ja kasvattaa ryhmäkokoja häiriötilanteiden perusteella. Turvallisuutta ei tule arvioida ainoastaan fyysisen turvallisuuden näkökulmasta, vaan myös lapsen kokemana turvallisuutena sekä mahdollisuutena saada riittävää vuorovaikutuksellista, pedagogista ja emotionaalista tukea. Häiriötilanteissa näiden tekijöiden merkitys korostuu, minkä vuoksi henkilöstöresurssien vähentämiseen perustuvia ratkaisuja tulee arvioida</w:t>
      </w:r>
      <w:r>
        <w:rPr>
          <w:rFonts w:ascii="Calibri" w:eastAsia="Calibri" w:hAnsi="Calibri" w:cs="Calibri"/>
          <w:color w:val="000000"/>
        </w:rPr>
        <w:t xml:space="preserve"> erityisen pidättyvästi.</w:t>
      </w:r>
    </w:p>
    <w:p w14:paraId="5101661A"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Samanaikaisesti myös henkilöstö työskentelee poikkeuksellisissa ja usein kuormittavissa olosuhteissa. Tämän vuoksi henkilöstöresurssien tarve voi häiriötilanteissa olla jopa tavanomaista suurempi. Esityksessä ei ole riittävästi arvioitu henkilöstömitoituksesta poikkeamisen vaikutuksia lasten hyvinvointiin, tuen toteutumiseen, varhaiskasvatuksen laatuun eikä henkilöstön työssä jaksamiseen. Näiden vaikutusten arviointia tulisi täydentää ennen sääntelyn etenemistä. Häiriötilanteet voivat myös lisätä lasten tue</w:t>
      </w:r>
      <w:r>
        <w:rPr>
          <w:rFonts w:ascii="Calibri" w:eastAsia="Calibri" w:hAnsi="Calibri" w:cs="Calibri"/>
          <w:color w:val="000000"/>
        </w:rPr>
        <w:t xml:space="preserve">n tarvetta, jolloin henkilöstöresurssien vähentäminen voi johtaa siihen, ettei tukea pystytä tarjoamaan riittävästi, johon kuitenkin myös esityksessä viitataan. </w:t>
      </w:r>
    </w:p>
    <w:p w14:paraId="3DB6DA19" w14:textId="77777777" w:rsidR="00AF2C21" w:rsidRDefault="00AF2C21">
      <w:pPr>
        <w:spacing w:before="200" w:after="200"/>
        <w:ind w:left="800"/>
        <w:rPr>
          <w:rFonts w:ascii="Calibri" w:eastAsia="Calibri" w:hAnsi="Calibri" w:cs="Calibri"/>
          <w:color w:val="000000"/>
        </w:rPr>
      </w:pPr>
    </w:p>
    <w:p w14:paraId="2AD9C514"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2. Huomionne varhaiskasvatuksen varautumista koskevaan 11 c §:ään</w:t>
      </w:r>
    </w:p>
    <w:p w14:paraId="7F6A5B7D"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On tärkeää, että ehdotettu säännös korostaa kunnan järjestämisvastuun säilymistä myös tilanteissa, joissa varhaiskasvatuspalveluja tuotetaan yksityisten palveluntuottajien toimesta. On perusteltua, että kunnan varautumisvelvollisuus ulottuu myös tilanteisiin, joissa yksityinen palveluntuottaja ei häiriötilanteen vuoksi kykene järjestämään tai tuottamaan varhaiskasvatusta.</w:t>
      </w:r>
    </w:p>
    <w:p w14:paraId="2E44D8B3"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 xml:space="preserve">Säännös tuo kuitenkin esiin ne keskeiset riskit, joita liittyy varhaiskasvatuksen laajaan ulkoistamiseen. Mitä suurempi osa kunnan palvelutuotannosta on yksityisten toimijoiden vastuulla, sitä merkittävämmäksi muodostuu kunnan varautumisvelvollisuus sekä riski palveluiden jatkuvuuden häiriintymisestä tilanteissa, joissa yksityinen palveluntuottaja ei kykene täyttämään </w:t>
      </w:r>
      <w:r>
        <w:rPr>
          <w:rFonts w:ascii="Calibri" w:eastAsia="Calibri" w:hAnsi="Calibri" w:cs="Calibri"/>
          <w:color w:val="000000"/>
        </w:rPr>
        <w:lastRenderedPageBreak/>
        <w:t>velvoitteitaan. Kunnan on tällöin kyettävä lyhyelläkin varoitusajalla turvaamaan lasten oikeus varhaiskasvatukseen.</w:t>
      </w:r>
    </w:p>
    <w:p w14:paraId="223A2279"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Tämä tukee myös parlamentaarisesti hyväksyttyä koulutuspoliittisen selonteon linjausta, jonka mukaan varhaiskasvatus ja esiopetus tulee järjestää ensisijaisesti julkisina palveluina ja yksityisen palvelutuotannon tulee täydentää, ei korvata, kunnallista palveluverkkoa. Häiriö- ja poikkeustilanteisiin varautumisen näkökulmasta kunnilla tulee olla riittävä oma palvelutuotanto, henkilöstö ja osaaminen palveluiden jatkuvuuden turvaamiseksi kaikissa olosuhteissa.</w:t>
      </w:r>
    </w:p>
    <w:p w14:paraId="2B492E76"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Varhaiskasvatusjärjestelmän kriisinkestävyys edellyttää riittävää julkista palveluverkkoa. Liiallinen riippuvuus yksityisestä palvelutuotannosta voi heikentää kunnan mahdollisuuksia vastata häiriötilanteisiin tehokkaasti ja vaarantaa palvelujen yhdenvertaisen saatavuuden. Siksi varautumista koskevassa sääntelyssä ja vaikutusarvioinneissa tulisi tunnistaa myös palvelutuotannon rakenteeseen liittyvät riskit ja niiden vaikutukset huoltovarmuuteen sekä palveluiden jatkuvuuteen. Yhteiskunnan kriisinkestävyyden k</w:t>
      </w:r>
      <w:r>
        <w:rPr>
          <w:rFonts w:ascii="Calibri" w:eastAsia="Calibri" w:hAnsi="Calibri" w:cs="Calibri"/>
          <w:color w:val="000000"/>
        </w:rPr>
        <w:t xml:space="preserve">annalta tämän huomioiminen vaikutusten arvioinneissa on keskeistä. </w:t>
      </w:r>
    </w:p>
    <w:p w14:paraId="318828AE" w14:textId="77777777" w:rsidR="00AF2C21" w:rsidRDefault="00AF2C21">
      <w:pPr>
        <w:spacing w:before="200" w:after="200"/>
        <w:ind w:left="800"/>
        <w:rPr>
          <w:rFonts w:ascii="Calibri" w:eastAsia="Calibri" w:hAnsi="Calibri" w:cs="Calibri"/>
          <w:color w:val="000000"/>
        </w:rPr>
      </w:pPr>
    </w:p>
    <w:p w14:paraId="4F8D5D72"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3. Muut huomionne varhaiskasvatusta koskeviin häiriösäännöksiin</w:t>
      </w:r>
    </w:p>
    <w:p w14:paraId="7D46CE21"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w:t>
      </w:r>
    </w:p>
    <w:p w14:paraId="205EC186"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4. Onko teillä täydennettävää varhaiskasvatusta koskeviin vaikutusarviointeihin?</w:t>
      </w:r>
    </w:p>
    <w:p w14:paraId="6E32FD21"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Häiriötilanteisiin liittyvät poikkeavat varhaiskasvatuksen järjestelyt lisäävät väistämättä päiväkodin johtajien ja varhaiskasvatuksen opettajien työmäärää muun muassa toiminnan uudelleenorganisoinnin, henkilöstöjärjestelyjen, viestinnän ja pedagogisen toiminnan poikkeusjärjestämisen vuoksi. VOL katsoo, että tästä aiheutuvat vaikutukset henkilöstön työmäärään ja kuormitukseen tulee tunnistaa. Lisääntyvä työmäärä tulee arvioida nykyistä kattavammin esityksen vaikutusarvioinneissa.</w:t>
      </w:r>
    </w:p>
    <w:p w14:paraId="3525D7D2" w14:textId="77777777" w:rsidR="00AF2C21" w:rsidRDefault="00AF2C21">
      <w:pPr>
        <w:spacing w:before="200" w:after="200"/>
        <w:ind w:left="800"/>
        <w:rPr>
          <w:rFonts w:ascii="Calibri" w:eastAsia="Calibri" w:hAnsi="Calibri" w:cs="Calibri"/>
          <w:color w:val="000000"/>
        </w:rPr>
      </w:pPr>
    </w:p>
    <w:p w14:paraId="07D55E72"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Vaikutukset viranomaisten toimintaan.</w:t>
      </w:r>
    </w:p>
    <w:p w14:paraId="1F94F603"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On tärkeää, että esityksessä on tunnistettu häiriötilanteiden vaikutukset varhaiskasvatuksen toiminnan järjestämiseen, johdon ja henkilöstön kuormitukseen sekä korostettu huoltajiin kohdistuvaa aktiivisen tiedottamisen ja yhteydenpidon merkitystä. On kuitenkin ensisijaisen tärkeää, että myös henkilöstöllä on ajantasainen tieto toiminnan järjestelyistä, omista tehtävistään ja häiriötilanteen vaikutuksista työskentelyyn, joka on hyvä linjata esitykseen mukaan.</w:t>
      </w:r>
    </w:p>
    <w:p w14:paraId="30AE8637"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Esityksestä jää myös puuttumaan arviointi, miten viranomaiset käytännössä turvaavat lasten ja henkilöstön turvallisuuden tilanteissa, joissa häiriötilanne edellyttää liikkumisen välttämistä, alueellisten riskien huomioon ottamista tai muita tavanomaisesta toiminnasta poikkeavia järjestelyjä. Varhaiskasvatukseen saapuminen ja sieltä poistuminen voivat muodostaa merkittävän osan lasten, huoltajien ja henkilöstön turvallisuuteen ja vakavimmillaan jopa hengelle kohdistuvista riskeistä. Tätä näkökulmaa ei esityk</w:t>
      </w:r>
      <w:r>
        <w:rPr>
          <w:rFonts w:ascii="Calibri" w:eastAsia="Calibri" w:hAnsi="Calibri" w:cs="Calibri"/>
          <w:color w:val="000000"/>
        </w:rPr>
        <w:t>sessä arvioida, vaikka sillä voi olla ratkaiseva merkitys sen kannalta, miten varhaiskasvatus voidaan häiriötilanteessa järjestää lasten, huoltajien ja henkilöstön turvallisuutta vaarantamatta. Esityksessä on perusteltua selventää viranomaisten, työnantajan ja henkilöstön velvollisuuksia sekä vastuita tällaisissa tilanteissa.</w:t>
      </w:r>
    </w:p>
    <w:p w14:paraId="1DF5C952" w14:textId="5422BEBF"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lastRenderedPageBreak/>
        <w:t>Esityksessä tunnistetaan perustellusti tarve valtakunnallisesti yhdenmukaiselle tilannekuvalle, tiedonkululle ja ohjaukselle häiriötilanteissa. Esityksessä todetaan perusopetuksen osalta, että opetuksen järjestämisen lähtökohtana häiriötilanteissa on valtakunnallis</w:t>
      </w:r>
      <w:r w:rsidR="00C6742B">
        <w:rPr>
          <w:rFonts w:ascii="Calibri" w:eastAsia="Calibri" w:hAnsi="Calibri" w:cs="Calibri"/>
          <w:color w:val="000000"/>
        </w:rPr>
        <w:t>en</w:t>
      </w:r>
      <w:r>
        <w:rPr>
          <w:rFonts w:ascii="Calibri" w:eastAsia="Calibri" w:hAnsi="Calibri" w:cs="Calibri"/>
          <w:color w:val="000000"/>
        </w:rPr>
        <w:t xml:space="preserve"> opetussuunnitelman perusteiden noudattaminen. Vastaavaa kirjausta ei kuitenkaan tehdä varhaiskasvatuksen osalta. Varhaiskasvatus on osa koulutusjärjestelmää, ja varhaiskasvatussuunnitelman perusteet muodostavat keskeisen normatiivisen välineen varhaiskasvatuslain tavoitteiden toteuttamisessa. Siksi myös varhaiskasvatuksen osalta on perusteltua tunnistaa Opetushallituksen antamien varhaiskasvatussuunnitelman perusteiden merkitys. Koska esityksessä ehdotetaan Opetushallitukselle toimivaltaa määrätä opetussuu</w:t>
      </w:r>
      <w:r>
        <w:rPr>
          <w:rFonts w:ascii="Calibri" w:eastAsia="Calibri" w:hAnsi="Calibri" w:cs="Calibri"/>
          <w:color w:val="000000"/>
        </w:rPr>
        <w:t>nnitelman perusteiden noudattamisesta häiriötilanteissa, on perusteltua linjata samoin myös varhaiskasvatussuunnitelman perusteiden osalta.  Myös häiriötilanteissa toiminnan järjestämisen lähtökohtana tulee olla varhaiskasvatussuunnitelman perusteiden mahdollisimman täysimääräinen toteuttaminen. Tämän vuoksi valtakunnallisten varhaiskasvatussuunnitelman perusteiden merkitystä on perusteltua käsitellä esityksessä ylipäätään selvemmin sekä tuoda se näkyviin myös pykäläkohtaisesti 11 b § vastaavalla tavalla ku</w:t>
      </w:r>
      <w:r>
        <w:rPr>
          <w:rFonts w:ascii="Calibri" w:eastAsia="Calibri" w:hAnsi="Calibri" w:cs="Calibri"/>
          <w:color w:val="000000"/>
        </w:rPr>
        <w:t xml:space="preserve">in perusopetuksen 20 k § osalta. Tätä puoltaa myös esityksessä korostettu lapsen edun ensisijaisuus sekä tavoite turvata lapsen oikeuksien mahdollisimman täysimääräinen toteutuminen häiriötilanteissa. </w:t>
      </w:r>
    </w:p>
    <w:p w14:paraId="7938FEE4" w14:textId="77777777" w:rsidR="00AF2C21" w:rsidRDefault="00AF2C21">
      <w:pPr>
        <w:spacing w:before="200" w:after="200"/>
        <w:ind w:left="800"/>
        <w:rPr>
          <w:rFonts w:ascii="Calibri" w:eastAsia="Calibri" w:hAnsi="Calibri" w:cs="Calibri"/>
          <w:color w:val="000000"/>
        </w:rPr>
      </w:pPr>
    </w:p>
    <w:p w14:paraId="1A976232" w14:textId="77777777" w:rsidR="00AF2C21" w:rsidRDefault="00AF2C21">
      <w:pPr>
        <w:spacing w:before="200" w:after="200"/>
        <w:rPr>
          <w:rFonts w:ascii="Calibri" w:eastAsia="Calibri" w:hAnsi="Calibri" w:cs="Calibri"/>
          <w:color w:val="000000"/>
          <w:sz w:val="32"/>
        </w:rPr>
      </w:pPr>
      <w:r>
        <w:rPr>
          <w:rFonts w:ascii="Calibri" w:eastAsia="Calibri" w:hAnsi="Calibri" w:cs="Calibri"/>
          <w:color w:val="000000"/>
          <w:sz w:val="32"/>
        </w:rPr>
        <w:t>Esi- ja perusopetus:</w:t>
      </w:r>
    </w:p>
    <w:p w14:paraId="3C9EEB43"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1. Huomionne häiriötilanteiden etäopetusta koskevaan 20 l §:ään</w:t>
      </w:r>
    </w:p>
    <w:p w14:paraId="37B42DAD"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w:t>
      </w:r>
    </w:p>
    <w:p w14:paraId="16491281"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2. Huomionne opetukseen tehtäviä poikkeuksia koskevaan 20 m §:ään</w:t>
      </w:r>
    </w:p>
    <w:p w14:paraId="0C578B60"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w:t>
      </w:r>
    </w:p>
    <w:p w14:paraId="158A914F"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3. Huomionne aamu- ja iltapäivätoiminnan keskeyttämistä koskevaan 20 n §:ään</w:t>
      </w:r>
    </w:p>
    <w:p w14:paraId="7FF53659"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w:t>
      </w:r>
    </w:p>
    <w:p w14:paraId="7D32EC70"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4. Huomionne esi- ja perusopetuksen varautumista koskevaan 20 o §:ään</w:t>
      </w:r>
    </w:p>
    <w:p w14:paraId="25A58B7C"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w:t>
      </w:r>
    </w:p>
    <w:p w14:paraId="5AE4E531"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5. Huomionne aikuisten perusopetusta koskevaan 46 §:n muutokseen</w:t>
      </w:r>
    </w:p>
    <w:p w14:paraId="1A397E24"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w:t>
      </w:r>
    </w:p>
    <w:p w14:paraId="2AA8EFCA"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6. Muut huomionne esi- ja perusopetusta koskeviin häiriösäännöksiin</w:t>
      </w:r>
    </w:p>
    <w:p w14:paraId="2E03E184"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w:t>
      </w:r>
    </w:p>
    <w:p w14:paraId="65EF4337"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7. Onko teillä täydennettävää esi- ja perusopetusta koskeviin vaikutusarviointeihin?</w:t>
      </w:r>
    </w:p>
    <w:p w14:paraId="26F29303"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w:t>
      </w:r>
    </w:p>
    <w:p w14:paraId="42FEA17F" w14:textId="77777777" w:rsidR="00AF2C21" w:rsidRDefault="00AF2C21">
      <w:pPr>
        <w:spacing w:before="200" w:after="200"/>
        <w:rPr>
          <w:rFonts w:ascii="Calibri" w:eastAsia="Calibri" w:hAnsi="Calibri" w:cs="Calibri"/>
          <w:color w:val="000000"/>
          <w:sz w:val="32"/>
        </w:rPr>
      </w:pPr>
      <w:r>
        <w:rPr>
          <w:rFonts w:ascii="Calibri" w:eastAsia="Calibri" w:hAnsi="Calibri" w:cs="Calibri"/>
          <w:color w:val="000000"/>
          <w:sz w:val="32"/>
        </w:rPr>
        <w:t>Helsingin eurooppalainen koulu:</w:t>
      </w:r>
    </w:p>
    <w:p w14:paraId="3D8662F3"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1. Huomionne Helsingin eurooppalaista koulua koskeviin häiriösäännöksiin</w:t>
      </w:r>
    </w:p>
    <w:p w14:paraId="678EC7A3"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lastRenderedPageBreak/>
        <w:t>-</w:t>
      </w:r>
    </w:p>
    <w:p w14:paraId="6B8D9D5E"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2. Onko teillä täydennettävää Helsingin eurooppalaista koulua koskeviin vaikutusarviointeihin?</w:t>
      </w:r>
    </w:p>
    <w:p w14:paraId="32DB013B"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w:t>
      </w:r>
    </w:p>
    <w:p w14:paraId="16CB056F" w14:textId="77777777" w:rsidR="00AF2C21" w:rsidRDefault="00AF2C21">
      <w:pPr>
        <w:spacing w:before="200" w:after="200"/>
        <w:rPr>
          <w:rFonts w:ascii="Calibri" w:eastAsia="Calibri" w:hAnsi="Calibri" w:cs="Calibri"/>
          <w:color w:val="000000"/>
          <w:sz w:val="32"/>
        </w:rPr>
      </w:pPr>
      <w:r>
        <w:rPr>
          <w:rFonts w:ascii="Calibri" w:eastAsia="Calibri" w:hAnsi="Calibri" w:cs="Calibri"/>
          <w:color w:val="000000"/>
          <w:sz w:val="32"/>
        </w:rPr>
        <w:t>Vapaa sivistystyö:</w:t>
      </w:r>
    </w:p>
    <w:p w14:paraId="059C345E"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1. Huomionne kansanopistojen oppivelvollisuuskoulutusta koskeviin häiriösäännöksiin</w:t>
      </w:r>
    </w:p>
    <w:p w14:paraId="5491A0BC"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w:t>
      </w:r>
    </w:p>
    <w:p w14:paraId="71D03B0A"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2. Huomionne muun vapaan sivistystyön järjestämiseen häiriötilanteissa</w:t>
      </w:r>
    </w:p>
    <w:p w14:paraId="5C75DA4E"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w:t>
      </w:r>
    </w:p>
    <w:p w14:paraId="3044BCED" w14:textId="77777777" w:rsidR="00AF2C21" w:rsidRDefault="00AF2C21">
      <w:pPr>
        <w:spacing w:before="200" w:after="200"/>
        <w:rPr>
          <w:rFonts w:ascii="Calibri" w:eastAsia="Calibri" w:hAnsi="Calibri" w:cs="Calibri"/>
          <w:b/>
          <w:color w:val="000000"/>
        </w:rPr>
      </w:pPr>
      <w:r>
        <w:rPr>
          <w:rFonts w:ascii="Calibri" w:eastAsia="Calibri" w:hAnsi="Calibri" w:cs="Calibri"/>
          <w:b/>
          <w:color w:val="000000"/>
        </w:rPr>
        <w:t>3. Onko teillä täydennettävää vapaata sivistystyötä koskeviin vaikutusarviointeihin?</w:t>
      </w:r>
    </w:p>
    <w:p w14:paraId="58109ABA" w14:textId="77777777" w:rsidR="00AF2C21" w:rsidRDefault="00AF2C21">
      <w:pPr>
        <w:spacing w:before="200" w:after="200"/>
        <w:ind w:left="800"/>
        <w:rPr>
          <w:rFonts w:ascii="Calibri" w:eastAsia="Calibri" w:hAnsi="Calibri" w:cs="Calibri"/>
          <w:color w:val="000000"/>
        </w:rPr>
      </w:pPr>
      <w:r>
        <w:rPr>
          <w:rFonts w:ascii="Calibri" w:eastAsia="Calibri" w:hAnsi="Calibri" w:cs="Calibri"/>
          <w:color w:val="000000"/>
        </w:rPr>
        <w:t>-</w:t>
      </w:r>
    </w:p>
    <w:p w14:paraId="100CA81E" w14:textId="77777777" w:rsidR="00AF2C21" w:rsidRDefault="00AF2C21">
      <w:pPr>
        <w:spacing w:before="200" w:after="200"/>
        <w:rPr>
          <w:rFonts w:ascii="Calibri" w:eastAsia="Calibri" w:hAnsi="Calibri" w:cs="Calibri"/>
          <w:color w:val="000000"/>
        </w:rPr>
      </w:pPr>
    </w:p>
    <w:p w14:paraId="509A3282" w14:textId="77777777" w:rsidR="00AF2C21" w:rsidRDefault="00AF2C21">
      <w:pPr>
        <w:spacing w:before="200" w:after="200"/>
        <w:rPr>
          <w:rFonts w:ascii="Calibri" w:eastAsia="Calibri" w:hAnsi="Calibri" w:cs="Calibri"/>
          <w:color w:val="000000"/>
        </w:rPr>
      </w:pPr>
    </w:p>
    <w:p w14:paraId="46907420" w14:textId="77777777" w:rsidR="00AF2C21" w:rsidRDefault="00AF2C21">
      <w:pPr>
        <w:spacing w:before="200" w:after="200"/>
        <w:rPr>
          <w:rFonts w:ascii="Calibri" w:eastAsia="Calibri" w:hAnsi="Calibri" w:cs="Calibri"/>
          <w:color w:val="000000"/>
        </w:rPr>
      </w:pPr>
    </w:p>
    <w:p w14:paraId="2EC3D3BB" w14:textId="77777777" w:rsidR="00AF2C21" w:rsidRDefault="00AF2C21">
      <w:pPr>
        <w:ind w:left="3200"/>
        <w:rPr>
          <w:rFonts w:ascii="Calibri" w:eastAsia="Calibri" w:hAnsi="Calibri" w:cs="Calibri"/>
          <w:color w:val="000000"/>
        </w:rPr>
      </w:pPr>
      <w:r>
        <w:rPr>
          <w:rFonts w:ascii="Calibri" w:eastAsia="Calibri" w:hAnsi="Calibri" w:cs="Calibri"/>
          <w:color w:val="000000"/>
        </w:rPr>
        <w:t>Laakkonen Anna</w:t>
      </w:r>
    </w:p>
    <w:p w14:paraId="299E7A30" w14:textId="77777777" w:rsidR="00AF2C21" w:rsidRDefault="00AF2C21">
      <w:pPr>
        <w:ind w:left="3200"/>
        <w:rPr>
          <w:rFonts w:ascii="Calibri" w:eastAsia="Calibri" w:hAnsi="Calibri" w:cs="Calibri"/>
          <w:color w:val="000000"/>
        </w:rPr>
      </w:pPr>
      <w:r>
        <w:rPr>
          <w:rFonts w:ascii="Calibri" w:eastAsia="Calibri" w:hAnsi="Calibri" w:cs="Calibri"/>
          <w:color w:val="000000"/>
        </w:rPr>
        <w:t>Varhaiskasvatuksen Opettajien Liitto</w:t>
      </w:r>
    </w:p>
    <w:p w14:paraId="3FC24154" w14:textId="77777777" w:rsidR="00AF2C21" w:rsidRDefault="00AF2C21">
      <w:pPr>
        <w:rPr>
          <w:rFonts w:ascii="Calibri" w:eastAsia="Calibri" w:hAnsi="Calibri" w:cs="Calibri"/>
          <w:color w:val="000000"/>
        </w:rPr>
      </w:pPr>
    </w:p>
    <w:sectPr w:rsidR="00A77B3E">
      <w:footerReference w:type="default" r:id="rId6"/>
      <w:pgSz w:w="12240" w:h="15840"/>
      <w:pgMar w:top="800" w:right="800" w:bottom="0" w:left="80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EFC21" w14:textId="77777777" w:rsidR="00AF2C21" w:rsidRDefault="00AF2C21">
      <w:r>
        <w:separator/>
      </w:r>
    </w:p>
  </w:endnote>
  <w:endnote w:type="continuationSeparator" w:id="0">
    <w:p w14:paraId="69DF4088" w14:textId="77777777" w:rsidR="00AF2C21" w:rsidRDefault="00AF2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D42AC" w14:textId="77777777" w:rsidR="00202635" w:rsidRDefault="00202635"/>
  <w:tbl>
    <w:tblPr>
      <w:tblW w:w="5000" w:type="pct"/>
      <w:tblLook w:val="04A0" w:firstRow="1" w:lastRow="0" w:firstColumn="1" w:lastColumn="0" w:noHBand="0" w:noVBand="1"/>
    </w:tblPr>
    <w:tblGrid>
      <w:gridCol w:w="3546"/>
      <w:gridCol w:w="3547"/>
      <w:gridCol w:w="3547"/>
    </w:tblGrid>
    <w:tr w:rsidR="00202635" w14:paraId="4707CFC6" w14:textId="77777777">
      <w:tc>
        <w:tcPr>
          <w:tcW w:w="1650" w:type="pct"/>
        </w:tcPr>
        <w:p w14:paraId="54336845" w14:textId="77777777" w:rsidR="00202635" w:rsidRDefault="00202635"/>
      </w:tc>
      <w:tc>
        <w:tcPr>
          <w:tcW w:w="1650" w:type="pct"/>
        </w:tcPr>
        <w:p w14:paraId="53340A37" w14:textId="77777777" w:rsidR="00202635" w:rsidRDefault="00AF2C21">
          <w:pPr>
            <w:jc w:val="center"/>
            <w:rPr>
              <w:rFonts w:ascii="Arial" w:eastAsia="Arial" w:hAnsi="Arial" w:cs="Arial"/>
              <w:color w:val="000000"/>
            </w:rPr>
          </w:pPr>
          <w:r>
            <w:rPr>
              <w:rFonts w:ascii="Arial" w:eastAsia="Arial" w:hAnsi="Arial" w:cs="Arial"/>
              <w:sz w:val="20"/>
            </w:rPr>
            <w:t>Lausuntopalvelu.fi</w:t>
          </w:r>
        </w:p>
      </w:tc>
      <w:tc>
        <w:tcPr>
          <w:tcW w:w="1650" w:type="pct"/>
        </w:tcPr>
        <w:p w14:paraId="0E78B015" w14:textId="77777777" w:rsidR="00202635" w:rsidRDefault="00AF2C21">
          <w:pPr>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Pr>
              <w:rFonts w:ascii="Arial" w:eastAsia="Arial" w:hAnsi="Arial" w:cs="Arial"/>
              <w:color w:val="000000"/>
            </w:rPr>
            <w:t>5</w:t>
          </w:r>
          <w:r>
            <w:rPr>
              <w:rFonts w:ascii="Arial" w:eastAsia="Arial" w:hAnsi="Arial" w:cs="Arial"/>
              <w:color w:val="000000"/>
            </w:rPr>
            <w:fldChar w:fldCharType="end"/>
          </w:r>
          <w:r>
            <w:rPr>
              <w:rFonts w:ascii="Arial" w:eastAsia="Arial" w:hAnsi="Arial" w:cs="Arial"/>
              <w:color w:val="000000"/>
            </w:rPr>
            <w:t>/</w:t>
          </w:r>
          <w:r>
            <w:rPr>
              <w:rFonts w:ascii="Arial" w:eastAsia="Arial" w:hAnsi="Arial" w:cs="Arial"/>
              <w:color w:val="000000"/>
            </w:rPr>
            <w:fldChar w:fldCharType="begin"/>
          </w:r>
          <w:r>
            <w:rPr>
              <w:rFonts w:ascii="Arial" w:eastAsia="Arial" w:hAnsi="Arial" w:cs="Arial"/>
              <w:color w:val="000000"/>
            </w:rPr>
            <w:instrText>NUMPAGES</w:instrText>
          </w:r>
          <w:r>
            <w:rPr>
              <w:rFonts w:ascii="Arial" w:eastAsia="Arial" w:hAnsi="Arial" w:cs="Arial"/>
              <w:color w:val="000000"/>
            </w:rPr>
            <w:fldChar w:fldCharType="separate"/>
          </w:r>
          <w:r>
            <w:rPr>
              <w:rFonts w:ascii="Arial" w:eastAsia="Arial" w:hAnsi="Arial" w:cs="Arial"/>
              <w:color w:val="000000"/>
            </w:rPr>
            <w:t>5</w:t>
          </w:r>
          <w:r>
            <w:rPr>
              <w:rFonts w:ascii="Arial" w:eastAsia="Arial" w:hAnsi="Arial" w:cs="Arial"/>
              <w:color w:val="000000"/>
            </w:rPr>
            <w:fldChar w:fldCharType="end"/>
          </w:r>
        </w:p>
      </w:tc>
    </w:tr>
  </w:tbl>
  <w:p w14:paraId="11BAB6F9" w14:textId="77777777" w:rsidR="00202635" w:rsidRDefault="002026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959D6" w14:textId="77777777" w:rsidR="00AF2C21" w:rsidRDefault="00AF2C21">
      <w:r>
        <w:separator/>
      </w:r>
    </w:p>
  </w:footnote>
  <w:footnote w:type="continuationSeparator" w:id="0">
    <w:p w14:paraId="06D09FCD" w14:textId="77777777" w:rsidR="00AF2C21" w:rsidRDefault="00AF2C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635"/>
    <w:rsid w:val="00085B0F"/>
    <w:rsid w:val="00202635"/>
    <w:rsid w:val="00AF2C21"/>
    <w:rsid w:val="00C6742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839AD"/>
  <w15:docId w15:val="{D9C19742-C2CA-40B1-AF53-2627710D1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1264</Words>
  <Characters>10240</Characters>
  <Application>Microsoft Office Word</Application>
  <DocSecurity>0</DocSecurity>
  <Lines>85</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Lahdenperä-Laine Jaana</dc:creator>
  <cp:lastModifiedBy>Lahdenperä-Laine Jaana</cp:lastModifiedBy>
  <cp:revision>2</cp:revision>
  <dcterms:created xsi:type="dcterms:W3CDTF">2026-08-18T07:34:00Z</dcterms:created>
  <dcterms:modified xsi:type="dcterms:W3CDTF">2026-08-18T07:34:00Z</dcterms:modified>
</cp:coreProperties>
</file>